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LV</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XII PIELIKUMS</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“XXVII PIELIKUMS</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PĀRSKATU SNIEGŠANAS NORĀDES G-SNI REZERVJU NORMU IDENTIFICĒŠANAI UN PIEŠĶIRŠANAI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Satura rādītājs</w:t>
      </w:r>
    </w:p>
    <w:p w14:paraId="701E231A" w14:textId="6DA794DE" w:rsidR="007E17B1"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88863488" w:history="1">
        <w:r w:rsidR="007E17B1" w:rsidRPr="00F60D9D">
          <w:rPr>
            <w:rStyle w:val="Hyperlink"/>
          </w:rPr>
          <w:t>I DAĻA. VISPĀRĪGI NORĀDĪJUMI</w:t>
        </w:r>
        <w:r w:rsidR="007E17B1">
          <w:rPr>
            <w:webHidden/>
          </w:rPr>
          <w:tab/>
        </w:r>
        <w:r w:rsidR="007E17B1">
          <w:rPr>
            <w:webHidden/>
          </w:rPr>
          <w:fldChar w:fldCharType="begin"/>
        </w:r>
        <w:r w:rsidR="007E17B1">
          <w:rPr>
            <w:webHidden/>
          </w:rPr>
          <w:instrText xml:space="preserve"> PAGEREF _Toc188863488 \h </w:instrText>
        </w:r>
        <w:r w:rsidR="007E17B1">
          <w:rPr>
            <w:webHidden/>
          </w:rPr>
        </w:r>
        <w:r w:rsidR="007E17B1">
          <w:rPr>
            <w:webHidden/>
          </w:rPr>
          <w:fldChar w:fldCharType="separate"/>
        </w:r>
        <w:r w:rsidR="007E17B1">
          <w:rPr>
            <w:webHidden/>
          </w:rPr>
          <w:t>2</w:t>
        </w:r>
        <w:r w:rsidR="007E17B1">
          <w:rPr>
            <w:webHidden/>
          </w:rPr>
          <w:fldChar w:fldCharType="end"/>
        </w:r>
      </w:hyperlink>
    </w:p>
    <w:p w14:paraId="4F35A0B1" w14:textId="65C6BABC" w:rsidR="007E17B1" w:rsidRDefault="007E17B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489" w:history="1">
        <w:r w:rsidRPr="00F60D9D">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F60D9D">
          <w:rPr>
            <w:rStyle w:val="Hyperlink"/>
          </w:rPr>
          <w:t>Struktūra un pieņemtā prakse</w:t>
        </w:r>
        <w:r>
          <w:rPr>
            <w:webHidden/>
          </w:rPr>
          <w:tab/>
        </w:r>
        <w:r>
          <w:rPr>
            <w:webHidden/>
          </w:rPr>
          <w:fldChar w:fldCharType="begin"/>
        </w:r>
        <w:r>
          <w:rPr>
            <w:webHidden/>
          </w:rPr>
          <w:instrText xml:space="preserve"> PAGEREF _Toc188863489 \h </w:instrText>
        </w:r>
        <w:r>
          <w:rPr>
            <w:webHidden/>
          </w:rPr>
        </w:r>
        <w:r>
          <w:rPr>
            <w:webHidden/>
          </w:rPr>
          <w:fldChar w:fldCharType="separate"/>
        </w:r>
        <w:r>
          <w:rPr>
            <w:webHidden/>
          </w:rPr>
          <w:t>2</w:t>
        </w:r>
        <w:r>
          <w:rPr>
            <w:webHidden/>
          </w:rPr>
          <w:fldChar w:fldCharType="end"/>
        </w:r>
      </w:hyperlink>
    </w:p>
    <w:p w14:paraId="57629711" w14:textId="7C64EE8D" w:rsidR="007E17B1" w:rsidRDefault="007E17B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490" w:history="1">
        <w:r w:rsidRPr="00F60D9D">
          <w:rPr>
            <w:rStyle w:val="Hyperlink"/>
          </w:rPr>
          <w:t>1.1.</w:t>
        </w:r>
        <w:r>
          <w:rPr>
            <w:rFonts w:asciiTheme="minorHAnsi" w:eastAsiaTheme="minorEastAsia" w:hAnsiTheme="minorHAnsi" w:cstheme="minorBidi"/>
            <w:b w:val="0"/>
            <w:smallCaps w:val="0"/>
            <w:kern w:val="2"/>
            <w:sz w:val="24"/>
            <w:szCs w:val="24"/>
            <w:lang w:val="en-IE" w:eastAsia="en-IE"/>
            <w14:ligatures w14:val="standardContextual"/>
          </w:rPr>
          <w:tab/>
        </w:r>
        <w:r w:rsidRPr="00F60D9D">
          <w:rPr>
            <w:rStyle w:val="Hyperlink"/>
          </w:rPr>
          <w:t>Struktūra</w:t>
        </w:r>
        <w:r>
          <w:rPr>
            <w:webHidden/>
          </w:rPr>
          <w:tab/>
        </w:r>
        <w:r>
          <w:rPr>
            <w:webHidden/>
          </w:rPr>
          <w:fldChar w:fldCharType="begin"/>
        </w:r>
        <w:r>
          <w:rPr>
            <w:webHidden/>
          </w:rPr>
          <w:instrText xml:space="preserve"> PAGEREF _Toc188863490 \h </w:instrText>
        </w:r>
        <w:r>
          <w:rPr>
            <w:webHidden/>
          </w:rPr>
        </w:r>
        <w:r>
          <w:rPr>
            <w:webHidden/>
          </w:rPr>
          <w:fldChar w:fldCharType="separate"/>
        </w:r>
        <w:r>
          <w:rPr>
            <w:webHidden/>
          </w:rPr>
          <w:t>2</w:t>
        </w:r>
        <w:r>
          <w:rPr>
            <w:webHidden/>
          </w:rPr>
          <w:fldChar w:fldCharType="end"/>
        </w:r>
      </w:hyperlink>
    </w:p>
    <w:p w14:paraId="7C4A4F2C" w14:textId="014A331B" w:rsidR="007E17B1" w:rsidRDefault="007E17B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491" w:history="1">
        <w:r w:rsidRPr="00F60D9D">
          <w:rPr>
            <w:rStyle w:val="Hyperlink"/>
          </w:rPr>
          <w:t>1.2.</w:t>
        </w:r>
        <w:r>
          <w:rPr>
            <w:rFonts w:asciiTheme="minorHAnsi" w:eastAsiaTheme="minorEastAsia" w:hAnsiTheme="minorHAnsi" w:cstheme="minorBidi"/>
            <w:b w:val="0"/>
            <w:smallCaps w:val="0"/>
            <w:kern w:val="2"/>
            <w:sz w:val="24"/>
            <w:szCs w:val="24"/>
            <w:lang w:val="en-IE" w:eastAsia="en-IE"/>
            <w14:ligatures w14:val="standardContextual"/>
          </w:rPr>
          <w:tab/>
        </w:r>
        <w:r w:rsidRPr="00F60D9D">
          <w:rPr>
            <w:rStyle w:val="Hyperlink"/>
          </w:rPr>
          <w:t>Numerācijas konvencijas</w:t>
        </w:r>
        <w:r>
          <w:rPr>
            <w:webHidden/>
          </w:rPr>
          <w:tab/>
        </w:r>
        <w:r>
          <w:rPr>
            <w:webHidden/>
          </w:rPr>
          <w:fldChar w:fldCharType="begin"/>
        </w:r>
        <w:r>
          <w:rPr>
            <w:webHidden/>
          </w:rPr>
          <w:instrText xml:space="preserve"> PAGEREF _Toc188863491 \h </w:instrText>
        </w:r>
        <w:r>
          <w:rPr>
            <w:webHidden/>
          </w:rPr>
        </w:r>
        <w:r>
          <w:rPr>
            <w:webHidden/>
          </w:rPr>
          <w:fldChar w:fldCharType="separate"/>
        </w:r>
        <w:r>
          <w:rPr>
            <w:webHidden/>
          </w:rPr>
          <w:t>2</w:t>
        </w:r>
        <w:r>
          <w:rPr>
            <w:webHidden/>
          </w:rPr>
          <w:fldChar w:fldCharType="end"/>
        </w:r>
      </w:hyperlink>
    </w:p>
    <w:p w14:paraId="49CC4FAF" w14:textId="098D6B91" w:rsidR="007E17B1" w:rsidRDefault="007E17B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492" w:history="1">
        <w:r w:rsidRPr="00F60D9D">
          <w:rPr>
            <w:rStyle w:val="Hyperlink"/>
          </w:rPr>
          <w:t>1.3.</w:t>
        </w:r>
        <w:r>
          <w:rPr>
            <w:rFonts w:asciiTheme="minorHAnsi" w:eastAsiaTheme="minorEastAsia" w:hAnsiTheme="minorHAnsi" w:cstheme="minorBidi"/>
            <w:b w:val="0"/>
            <w:smallCaps w:val="0"/>
            <w:kern w:val="2"/>
            <w:sz w:val="24"/>
            <w:szCs w:val="24"/>
            <w:lang w:val="en-IE" w:eastAsia="en-IE"/>
            <w14:ligatures w14:val="standardContextual"/>
          </w:rPr>
          <w:tab/>
        </w:r>
        <w:r w:rsidRPr="00F60D9D">
          <w:rPr>
            <w:rStyle w:val="Hyperlink"/>
          </w:rPr>
          <w:t>Pieņemtā prakse attiecībā uz zīmēm</w:t>
        </w:r>
        <w:r>
          <w:rPr>
            <w:webHidden/>
          </w:rPr>
          <w:tab/>
        </w:r>
        <w:r>
          <w:rPr>
            <w:webHidden/>
          </w:rPr>
          <w:fldChar w:fldCharType="begin"/>
        </w:r>
        <w:r>
          <w:rPr>
            <w:webHidden/>
          </w:rPr>
          <w:instrText xml:space="preserve"> PAGEREF _Toc188863492 \h </w:instrText>
        </w:r>
        <w:r>
          <w:rPr>
            <w:webHidden/>
          </w:rPr>
        </w:r>
        <w:r>
          <w:rPr>
            <w:webHidden/>
          </w:rPr>
          <w:fldChar w:fldCharType="separate"/>
        </w:r>
        <w:r>
          <w:rPr>
            <w:webHidden/>
          </w:rPr>
          <w:t>2</w:t>
        </w:r>
        <w:r>
          <w:rPr>
            <w:webHidden/>
          </w:rPr>
          <w:fldChar w:fldCharType="end"/>
        </w:r>
      </w:hyperlink>
    </w:p>
    <w:p w14:paraId="3E19BA6D" w14:textId="28B56362" w:rsidR="007E17B1" w:rsidRDefault="007E17B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493" w:history="1">
        <w:r w:rsidRPr="00F60D9D">
          <w:rPr>
            <w:rStyle w:val="Hyperlink"/>
          </w:rPr>
          <w:t>II DAĻA. NORĀDĪJUMI SAISTĪBĀ AR VEIDNI</w:t>
        </w:r>
        <w:r>
          <w:rPr>
            <w:webHidden/>
          </w:rPr>
          <w:tab/>
        </w:r>
        <w:r>
          <w:rPr>
            <w:webHidden/>
          </w:rPr>
          <w:fldChar w:fldCharType="begin"/>
        </w:r>
        <w:r>
          <w:rPr>
            <w:webHidden/>
          </w:rPr>
          <w:instrText xml:space="preserve"> PAGEREF _Toc188863493 \h </w:instrText>
        </w:r>
        <w:r>
          <w:rPr>
            <w:webHidden/>
          </w:rPr>
        </w:r>
        <w:r>
          <w:rPr>
            <w:webHidden/>
          </w:rPr>
          <w:fldChar w:fldCharType="separate"/>
        </w:r>
        <w:r>
          <w:rPr>
            <w:webHidden/>
          </w:rPr>
          <w:t>3</w:t>
        </w:r>
        <w:r>
          <w:rPr>
            <w:webHidden/>
          </w:rPr>
          <w:fldChar w:fldCharType="end"/>
        </w:r>
      </w:hyperlink>
    </w:p>
    <w:p w14:paraId="7C11B6DE" w14:textId="0CA6D4FF" w:rsidR="007E17B1" w:rsidRDefault="007E17B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494" w:history="1">
        <w:r w:rsidRPr="00F60D9D">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F60D9D">
          <w:rPr>
            <w:rStyle w:val="Hyperlink"/>
          </w:rPr>
          <w:t>Vispārīgas piezīmes</w:t>
        </w:r>
        <w:r>
          <w:rPr>
            <w:webHidden/>
          </w:rPr>
          <w:tab/>
        </w:r>
        <w:r>
          <w:rPr>
            <w:webHidden/>
          </w:rPr>
          <w:fldChar w:fldCharType="begin"/>
        </w:r>
        <w:r>
          <w:rPr>
            <w:webHidden/>
          </w:rPr>
          <w:instrText xml:space="preserve"> PAGEREF _Toc188863494 \h </w:instrText>
        </w:r>
        <w:r>
          <w:rPr>
            <w:webHidden/>
          </w:rPr>
        </w:r>
        <w:r>
          <w:rPr>
            <w:webHidden/>
          </w:rPr>
          <w:fldChar w:fldCharType="separate"/>
        </w:r>
        <w:r>
          <w:rPr>
            <w:webHidden/>
          </w:rPr>
          <w:t>3</w:t>
        </w:r>
        <w:r>
          <w:rPr>
            <w:webHidden/>
          </w:rPr>
          <w:fldChar w:fldCharType="end"/>
        </w:r>
      </w:hyperlink>
    </w:p>
    <w:p w14:paraId="4EA16998" w14:textId="74B131B3" w:rsidR="007E17B1" w:rsidRDefault="007E17B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495" w:history="1">
        <w:r w:rsidRPr="00F60D9D">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F60D9D">
          <w:rPr>
            <w:rStyle w:val="Hyperlink"/>
          </w:rPr>
          <w:t>Norādes par konkrētām pozīcijām</w:t>
        </w:r>
        <w:r>
          <w:rPr>
            <w:webHidden/>
          </w:rPr>
          <w:tab/>
        </w:r>
        <w:r>
          <w:rPr>
            <w:webHidden/>
          </w:rPr>
          <w:fldChar w:fldCharType="begin"/>
        </w:r>
        <w:r>
          <w:rPr>
            <w:webHidden/>
          </w:rPr>
          <w:instrText xml:space="preserve"> PAGEREF _Toc188863495 \h </w:instrText>
        </w:r>
        <w:r>
          <w:rPr>
            <w:webHidden/>
          </w:rPr>
        </w:r>
        <w:r>
          <w:rPr>
            <w:webHidden/>
          </w:rPr>
          <w:fldChar w:fldCharType="separate"/>
        </w:r>
        <w:r>
          <w:rPr>
            <w:webHidden/>
          </w:rPr>
          <w:t>3</w:t>
        </w:r>
        <w:r>
          <w:rPr>
            <w:webHidden/>
          </w:rPr>
          <w:fldChar w:fldCharType="end"/>
        </w:r>
      </w:hyperlink>
    </w:p>
    <w:p w14:paraId="7AC7042C" w14:textId="215CCB4E"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863488"/>
      <w:r>
        <w:lastRenderedPageBreak/>
        <w:t>I DAĻA.</w:t>
      </w:r>
      <w:bookmarkEnd w:id="2"/>
      <w:r>
        <w:t xml:space="preserve"> VISPĀRĪGI NORĀDĪJUMI</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863489"/>
      <w:r>
        <w:rPr>
          <w:sz w:val="24"/>
        </w:rPr>
        <w:t>1.</w:t>
      </w:r>
      <w:r>
        <w:rPr>
          <w:sz w:val="24"/>
        </w:rPr>
        <w:tab/>
        <w:t>Struktūra un pieņemtā prakse</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863490"/>
      <w:r>
        <w:rPr>
          <w:sz w:val="24"/>
        </w:rPr>
        <w:t>1.1.</w:t>
      </w:r>
      <w:r>
        <w:rPr>
          <w:sz w:val="24"/>
        </w:rPr>
        <w:tab/>
        <w:t>Struktūra</w:t>
      </w:r>
      <w:bookmarkEnd w:id="9"/>
      <w:bookmarkEnd w:id="10"/>
      <w:bookmarkEnd w:id="13"/>
    </w:p>
    <w:p w14:paraId="6C67B776" w14:textId="4E28F620" w:rsidR="005643EA" w:rsidRPr="00B74E74" w:rsidRDefault="00125707" w:rsidP="00B26332">
      <w:pPr>
        <w:pStyle w:val="InstructionsText2"/>
        <w:ind w:left="993"/>
      </w:pPr>
      <w:r>
        <w:t>1.</w:t>
      </w:r>
      <w:r>
        <w:tab/>
        <w:t>Šīs pārskatu sniegšanas prasības, kuru mērķis ir atbalstīt globāli sistēmiski nozīmīgu iestāžu (G-SNI) identificēšanu un attiecīgo G-SNI rezervju normu piešķiršanu, sastāv no vienas veidnes, kurā apkopota informācija par globālas sistēmiskas nozīmes rādītājiem un konkrētiem posteņiem, kas vajadzīgi, lai piemērotu Savienības metodiku G-SNI identificēšanai un atbilstošo G-SNI rezervju normu piešķiršanai.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863491"/>
      <w:r>
        <w:rPr>
          <w:sz w:val="24"/>
        </w:rPr>
        <w:t>1.2.</w:t>
      </w:r>
      <w:r>
        <w:rPr>
          <w:sz w:val="24"/>
        </w:rPr>
        <w:tab/>
        <w:t>Numerācijas konvencijas</w:t>
      </w:r>
      <w:bookmarkEnd w:id="14"/>
      <w:bookmarkEnd w:id="15"/>
      <w:bookmarkEnd w:id="16"/>
    </w:p>
    <w:p w14:paraId="3C0F0268" w14:textId="5212C39C" w:rsidR="002648B0" w:rsidRPr="00B74E74" w:rsidRDefault="006137FD" w:rsidP="00AB7C07">
      <w:pPr>
        <w:pStyle w:val="InstructionsText2"/>
        <w:ind w:left="993"/>
      </w:pPr>
      <w:r>
        <w:t>2.</w:t>
      </w:r>
      <w:r>
        <w:tab/>
        <w:t>Atsaucoties uz veidņu slejām, rindām un šūnām, dokumentā izmanto pieņemto praksi attiecībā uz apzīmējumiem, kas norādīta 3.–8. punktā. Minētos ciparu kodus plaši izmanto validācijas noteikumos.</w:t>
      </w:r>
    </w:p>
    <w:p w14:paraId="26DC2799" w14:textId="2C43513E" w:rsidR="005643EA" w:rsidRPr="00B74E74" w:rsidRDefault="006137FD" w:rsidP="00AB7C07">
      <w:pPr>
        <w:pStyle w:val="InstructionsText2"/>
        <w:ind w:left="993"/>
      </w:pPr>
      <w:r>
        <w:t>3.</w:t>
      </w:r>
      <w:r>
        <w:tab/>
        <w:t>Norādījumos izmantots šāds vispārējs apzīmējums: {Veidne; Rinda; Sleja}.</w:t>
      </w:r>
    </w:p>
    <w:p w14:paraId="6A9F72AA" w14:textId="632C824C" w:rsidR="005643EA" w:rsidRPr="00B74E74" w:rsidRDefault="006137FD" w:rsidP="00AB7C07">
      <w:pPr>
        <w:pStyle w:val="InstructionsText2"/>
        <w:ind w:left="993"/>
      </w:pPr>
      <w:r>
        <w:t>4.</w:t>
      </w:r>
      <w:r>
        <w:tab/>
        <w:t>Ja veidnē ir atsauces un tāpēc tiek izmantoti tikai minētās veidnes datu punkti, apzīmējums neietver veidni: {Rinda; Sleja}. Ja veidnēs ir tikai viena sleja, atsaucas vienīgi uz rindām {Veidne; Rinda}.</w:t>
      </w:r>
    </w:p>
    <w:p w14:paraId="01FECE3C" w14:textId="482B71E1" w:rsidR="002648B0" w:rsidRPr="00B74E74" w:rsidRDefault="006137FD" w:rsidP="00AB7C07">
      <w:pPr>
        <w:pStyle w:val="InstructionsText2"/>
        <w:ind w:left="993"/>
      </w:pPr>
      <w:r>
        <w:t>5.</w:t>
      </w:r>
      <w:r>
        <w:tab/>
        <w:t>Zvaigznītes zīmi izmanto, lai norādītu, ka atsauce ietver iepriekš norādītās rindas vai slejas.</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863492"/>
      <w:r>
        <w:rPr>
          <w:sz w:val="24"/>
        </w:rPr>
        <w:t>1.3.</w:t>
      </w:r>
      <w:r>
        <w:rPr>
          <w:sz w:val="24"/>
        </w:rPr>
        <w:tab/>
        <w:t>Pieņemtā prakse attiecībā uz zīmēm</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Jebkuru summu, kas palielina rādītāja, aktīvu, saistību vai riska darījumu vērtību, norāda kā pozitīvu skaitli. Jebkuru summu, kas samazina rādītāja, aktīvu, saistību vai riska darījumu vērtību, norāda kā negatīvu skaitli. Ja pirms kāda posteņa apzīmējuma ir mīnuszīme (–), šim postenim nav paredzamas pozitīvas vērtības.</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863493"/>
      <w:r>
        <w:lastRenderedPageBreak/>
        <w:t>II DAĻA. NORĀDĪJUMI SAISTĪBĀ AR VEIDNI</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863494"/>
      <w:r>
        <w:rPr>
          <w:sz w:val="24"/>
        </w:rPr>
        <w:t>1.</w:t>
      </w:r>
      <w:r>
        <w:rPr>
          <w:sz w:val="24"/>
        </w:rPr>
        <w:tab/>
      </w:r>
      <w:bookmarkStart w:id="27" w:name="_Toc308175819"/>
      <w:bookmarkStart w:id="28" w:name="_Toc360188324"/>
      <w:bookmarkStart w:id="29" w:name="_Toc473560872"/>
      <w:bookmarkEnd w:id="24"/>
      <w:bookmarkEnd w:id="25"/>
      <w:r>
        <w:rPr>
          <w:sz w:val="24"/>
        </w:rPr>
        <w:t>Vispārīgas piezīmes</w:t>
      </w:r>
      <w:bookmarkEnd w:id="26"/>
      <w:bookmarkEnd w:id="27"/>
      <w:bookmarkEnd w:id="28"/>
      <w:bookmarkEnd w:id="29"/>
    </w:p>
    <w:p w14:paraId="410557ED" w14:textId="58FCFFD9" w:rsidR="006137FD" w:rsidRPr="00B74E74" w:rsidRDefault="00004542" w:rsidP="00AB7C07">
      <w:pPr>
        <w:pStyle w:val="InstructionsText2"/>
        <w:ind w:left="993"/>
      </w:pPr>
      <w:r>
        <w:t>8.</w:t>
      </w:r>
      <w:r>
        <w:tab/>
        <w:t>Veidne ir sadalīta divās daļās. Augšējā iedaļā par G-SNI rādītājiem ir iekļauti rādītāji globāli sistēmiski nozīmīgu iestāžu identificēšanai, kā noteikts Bāzeles Banku uzraudzības komitejas izstrādātajā metodikā. Apakšējā iedaļā ietverti vairāki posteņi, kas vajadzīgi, lai aprēķinātu attiecīgos rādītājus saskaņā ar metodiku, kas noteikta, pamatojoties uz Direktīvas 2013/36/ES</w:t>
      </w:r>
      <w:r w:rsidR="00FE1150" w:rsidRPr="00B74E74">
        <w:rPr>
          <w:rStyle w:val="FootnoteReference"/>
          <w:rFonts w:ascii="Times New Roman" w:hAnsi="Times New Roman"/>
          <w:sz w:val="24"/>
          <w:szCs w:val="24"/>
          <w:vertAlign w:val="superscript"/>
        </w:rPr>
        <w:footnoteReference w:id="2"/>
      </w:r>
      <w:r>
        <w:t xml:space="preserve"> 131. panta 18. punktu. </w:t>
      </w:r>
    </w:p>
    <w:p w14:paraId="285BFC5F" w14:textId="4372324A" w:rsidR="005643EA" w:rsidRPr="00B74E74" w:rsidRDefault="00004542" w:rsidP="00AB7C07">
      <w:pPr>
        <w:pStyle w:val="InstructionsText2"/>
        <w:ind w:left="993"/>
      </w:pPr>
      <w:r>
        <w:t>9.</w:t>
      </w:r>
      <w:r>
        <w:tab/>
        <w:t>Attiecīgā gadījumā šajā veidnē sniegtā informācija atbilst informācijai, kas attiecīgajām iestādēm sniegta, lai tās varētu vākt rādītāju vērtības, kā noteikts Komisijas Deleģētās regulas (ES) Nr. 1222/2014</w:t>
      </w:r>
      <w:r w:rsidR="00FE1150" w:rsidRPr="00B74E74">
        <w:rPr>
          <w:rStyle w:val="FootnoteReference"/>
          <w:rFonts w:ascii="Times New Roman" w:hAnsi="Times New Roman"/>
          <w:sz w:val="24"/>
          <w:szCs w:val="24"/>
          <w:vertAlign w:val="superscript"/>
        </w:rPr>
        <w:footnoteReference w:id="3"/>
      </w:r>
      <w:r>
        <w:t xml:space="preserve"> 3. panta 2. punktā.</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863495"/>
      <w:r>
        <w:rPr>
          <w:sz w:val="24"/>
        </w:rPr>
        <w:t>2.</w:t>
      </w:r>
      <w:r>
        <w:rPr>
          <w:sz w:val="24"/>
        </w:rPr>
        <w:tab/>
      </w:r>
      <w:bookmarkEnd w:id="30"/>
      <w:r>
        <w:rPr>
          <w:sz w:val="24"/>
        </w:rPr>
        <w:t>Norādes par konkrētām pozīcijām</w:t>
      </w:r>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G-SNI rādītāji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Rādītāju definīcija ir tāda pati kā definīcija, ko izmanto, lai noteiktu Komisijas Deleģētās regulas (ES) Nr. 1222/2014 pielikumā uzskaitīto informāciju.</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Ja tiek veiktas izmaiņas minētās metodes definīcijās, tad mainītās definīcijas metodikā, ko piemēro rādītāju vērtību noteikšanai finanšu gada beigās, izmanto, lai sniegtu informāciju tā paša finanšu gada pirmā, otrā un trešā ceturkšņa beigās. Ja XXVI pielikuma veidnē attiecīgajā finanšu gadā tiek izdarīti grozījumi, gada beigu metodiku piemēro no pirmajiem piemērojamajiem atsauces datumiem pēc grozošās regulas stāšanās spēkā.</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Rādītājus, kas ir plūsmas mērījumi, uzrāda kumulatīvi attiecīgi no kalendārā vai finanšu gada sākuma.</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Kopējie riska darījumi, ieskaitot apdrošināšanas meitasuzņēmumus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Iekšējās finanšu sistēmas aktīvi, ieskaitot apdrošināšanas meitasuzņēmumus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Iekšējās finanšu sistēmas saistības, ieskaitot apdrošināšanas meitasuzņēmumus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Neatmaksātie vērtspapīri, t. sk. apdrošināšanas meitasuzņēmumu emitētie vērtspapīri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Maksājumu darbības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Glabāšanā esošie aktīvi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Sākotnējās izvietošanas darbība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apjoms – fiksētais ienākums</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apjoms – kapitāla vērtspapīri un citi vērtspapīri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Ārpusbiržas</w:t>
            </w:r>
            <w:proofErr w:type="spellEnd"/>
            <w:r>
              <w:rPr>
                <w:rStyle w:val="InstructionsTabelleberschrift"/>
                <w:rFonts w:ascii="Times New Roman" w:hAnsi="Times New Roman"/>
                <w:sz w:val="24"/>
              </w:rPr>
              <w:t xml:space="preserve"> atvasināto instrumentu, tostarp apdrošināšanas meitasuzņēmumu, nosacītā summa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un pārdošanai pieejami vērtspapīri</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Trešā līmeņa aktīvi, ieskaitot apdrošināšanas meitasuzņēmumus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Pārrobežu prasījumi</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Pārrobežu saistības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Posteņi, kuros Eiropas banku savienību uzskata par vienu jurisdikciju</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Lai noteiktu turpmāk norādītos posteņus un ja turpmāk sniegtajās norādēs nav specifikāciju, izmantotās definīcijas un jēdzienus pēc iespējas saskaņo ar definīcijām un jēdzieniem, kas definēti Pamatnostādnēs par BIS starptautiskās banku statistikas ziņošanu.</w:t>
            </w:r>
          </w:p>
          <w:p w14:paraId="624545C8" w14:textId="372F5EC2" w:rsidR="00461B95" w:rsidRPr="00B74E74" w:rsidRDefault="00461B95" w:rsidP="00B94200">
            <w:pPr>
              <w:pStyle w:val="InstructionsText2"/>
              <w:rPr>
                <w:rStyle w:val="InstructionsTabelleberschrift"/>
                <w:rFonts w:ascii="Times New Roman" w:hAnsi="Times New Roman"/>
                <w:sz w:val="24"/>
              </w:rPr>
            </w:pPr>
            <w:r>
              <w:t>Atkāpjoties no iepriekš minētā, pārskatu sniedzēju vienību darbības iesaistītajās dalībvalstīs, kā minēts Eiropas Parlamenta un Padomes Regulas (ES) Nr. 806/2014</w:t>
            </w:r>
            <w:r w:rsidRPr="00B74E74">
              <w:rPr>
                <w:rStyle w:val="FootnoteReference"/>
                <w:rFonts w:ascii="Times New Roman" w:hAnsi="Times New Roman"/>
                <w:sz w:val="24"/>
                <w:szCs w:val="24"/>
                <w:vertAlign w:val="superscript"/>
              </w:rPr>
              <w:footnoteReference w:id="4"/>
            </w:r>
            <w:r>
              <w:t xml:space="preserve"> 4. pantā, tiek izslēgtas, t. i., iesaistītās dalībvalstis tiek uzskatītas par vienu jurisdikciju.</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Kopējie ārvalstu prasījumi, pamatojoties uz galīgo risku</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Ārvalstu prasījumu kopsumma ir ārvalstu saistītu uzņēmumu pārrobežu prasījumu un vietējo prasījumu summa vietējā vai ārvalstu valūtā. Izslēdz prasījumus no pozīcijām atvasināto instrumentu līgumos. “Prasījumi”, “pārrobežu prasījumi”, “ārvalstu saistītu uzņēmumu vietējie prasījumi ārvalstu un vietējā valūtā” ir ar to pašu nozīmi, kas definēta Pamatnostādnēs par BIS starptautiskās banku statistikas ziņošanu.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“Pamatojoties uz galīgo risku” nozīmē, ka, lai noteiktu, vai prasījums ir pārrobežu vai vietējais prasījums, pozīcija ir iedalīta </w:t>
            </w:r>
            <w:proofErr w:type="spellStart"/>
            <w:r>
              <w:rPr>
                <w:rStyle w:val="FormatvorlageInstructionsTabelleText"/>
                <w:rFonts w:ascii="Times New Roman" w:hAnsi="Times New Roman"/>
                <w:sz w:val="24"/>
              </w:rPr>
              <w:t>trešai</w:t>
            </w:r>
            <w:proofErr w:type="spellEnd"/>
            <w:r>
              <w:rPr>
                <w:rStyle w:val="FormatvorlageInstructionsTabelleText"/>
                <w:rFonts w:ascii="Times New Roman" w:hAnsi="Times New Roman"/>
                <w:sz w:val="24"/>
              </w:rPr>
              <w:t xml:space="preserve"> personai, kas ir noslēgusi līgumu, lai uzņemtos galvenā darījuma partnera parādus vai saistības, ja minētā puse nepilda saistības, ja šāda trešā persona pastāv. Šo iedalījumu veic saskaņā ar noteikumiem par riska pārvedumiem, kas paredzēti Pamatnostādnēs par BIS starptautiskās banku statistikas ziņošanu.</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Ārvalstu prasījumi saistībā ar atvasinātajiem instrumentiem, pamatojoties uz galīgo risku</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Visu atvasināto instrumentu prasījumu, kas ir pārrobežu prasījumi, vai ārvalstu saistītu uzņēmumu vietējo prasījumu vietējā vai ārvalstu valūtā pozitīvā patiesā vērtība.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Atvasinātie instrumenti ietver regulētā tirgū netirgotus nākotnes līgumus, mijmaiņas līgumus un iespējas līgumus, kas saistīti ar ārvalstu valūtu, procentu </w:t>
            </w:r>
            <w:r>
              <w:rPr>
                <w:rStyle w:val="FormatvorlageInstructionsTabelleText"/>
                <w:rFonts w:ascii="Times New Roman" w:hAnsi="Times New Roman"/>
                <w:sz w:val="24"/>
              </w:rPr>
              <w:lastRenderedPageBreak/>
              <w:t xml:space="preserve">likmi, pašu kapitālu, precēm un </w:t>
            </w:r>
            <w:proofErr w:type="spellStart"/>
            <w:r>
              <w:rPr>
                <w:rStyle w:val="FormatvorlageInstructionsTabelleText"/>
                <w:rFonts w:ascii="Times New Roman" w:hAnsi="Times New Roman"/>
                <w:sz w:val="24"/>
              </w:rPr>
              <w:t>kredītinstrumentiem</w:t>
            </w:r>
            <w:proofErr w:type="spellEnd"/>
            <w:r>
              <w:rPr>
                <w:rStyle w:val="FormatvorlageInstructionsTabelleText"/>
                <w:rFonts w:ascii="Times New Roman" w:hAnsi="Times New Roman"/>
                <w:sz w:val="24"/>
              </w:rPr>
              <w:t xml:space="preserve">. Tas ietver nopirktus kredītu atvasinātos instrumentus, kas ierobežo vai kompensē </w:t>
            </w:r>
            <w:proofErr w:type="spellStart"/>
            <w:r>
              <w:rPr>
                <w:rStyle w:val="FormatvorlageInstructionsTabelleText"/>
                <w:rFonts w:ascii="Times New Roman" w:hAnsi="Times New Roman"/>
                <w:sz w:val="24"/>
              </w:rPr>
              <w:t>kredītaizsardzību</w:t>
            </w:r>
            <w:proofErr w:type="spellEnd"/>
            <w:r>
              <w:rPr>
                <w:rStyle w:val="FormatvorlageInstructionsTabelleText"/>
                <w:rFonts w:ascii="Times New Roman" w:hAnsi="Times New Roman"/>
                <w:sz w:val="24"/>
              </w:rPr>
              <w:t>, kura ir pārdota vai tiek turēta tirdzniecības nolūkā.</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Šādu nopirktu kredītu atvasināto instrumentu gadījumā to vērtību neierobežo līdz tā tūlītējā prasījuma vērtībai, kuras garantēšanai tie tika iegādāti.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līgumu pozitīvās patiesās vērtības var kompensēt ar negatīvām patiesajām vērtībām tikai tad, ja pozīcijas tika izpildītas ar to pašu darījuma partneri saskaņā ar juridiski izpildāmu savstarpējo prasījumu ieskaita līgumu. Šajā postenī iekļauj tikai savstarpējo prasījumu ieskaita kopas ar pozitīvu vērtību.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prasījumus uzrāda, ieskaitot jebkādu naudas nodrošinājumu.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Lai sniegtu informāciju, pamatojoties uz galīgo risku, piemēro šādus noteikumus:</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ja galīgais risks gulstas uz darījuma partneri, atvasināto instrumentu uzskata par ārvalstu atvasināto instrumentu, ja darījuma partneris neatrodas pārskatu sniedzējas vienības piederības valsts jurisdikcijā;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ja galīgais risks gulstas uz garantijas devēju, atvasināto instrumentu uzskata par ārvalstu atvasināto instrumentu, ja garantijas devējs neatrodas pārskatu sniedzējas vienības piederības valsts jurisdikcijā.</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Ārvalstu saistības, balstoties uz tūlītēju risku, ieskaitot atvasinātos instrumentus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Ārvalstu saistības, tostarp atvasinātie instrumenti, ir ārvalstu saistību un no atvasinātajiem instrumentiem izrietošo ārvalstu saistību summa. Šajā postenī neiekļauj vērtspapīru saistības, kas ir tirgojami finanšu aktīvi, kurus emitējusi pārskatu sniedzošā iestāde.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Atvasināto instrumentu definīcija ir tāda pati, kādu piemēro 0150. rindā.</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līgumu negatīvās patiesās vērtības var kompensēt ar pozitīvām patiesajām vērtībām tikai tad, ja pozīcijas tika izpildītas ar to pašu darījuma partneri saskaņā ar juridiski izpildāmu savstarpējo prasījumu ieskaita līgumu. Atvasināto instrumentu saistības uzrāda, ieskaitot jebkādu nodrošinājumu (skaidrā naudā un bezskaidrā naudā).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“Pamatojoties uz tūlītēju risku” nozīmē, ka, lai noteiktu, vai prasījums ir pārrobežu vai vietēja prasījums, pozīciju iedala līguma tiešajam darījuma partnerim.”</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F2B5B" w14:textId="77777777" w:rsidR="00281F43" w:rsidRDefault="00281F43" w:rsidP="00D946DB">
      <w:pPr>
        <w:spacing w:before="0" w:after="0"/>
      </w:pPr>
      <w:r>
        <w:separator/>
      </w:r>
    </w:p>
  </w:endnote>
  <w:endnote w:type="continuationSeparator" w:id="0">
    <w:p w14:paraId="2E5CC873" w14:textId="77777777" w:rsidR="00281F43" w:rsidRDefault="00281F43" w:rsidP="00D946DB">
      <w:pPr>
        <w:spacing w:before="0" w:after="0"/>
      </w:pPr>
      <w:r>
        <w:continuationSeparator/>
      </w:r>
    </w:p>
  </w:endnote>
  <w:endnote w:type="continuationNotice" w:id="1">
    <w:p w14:paraId="0A04C6D6" w14:textId="77777777" w:rsidR="00281F43" w:rsidRDefault="00281F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A5652" w14:textId="77777777" w:rsidR="00281F43" w:rsidRDefault="00281F43" w:rsidP="00D946DB">
      <w:pPr>
        <w:spacing w:before="0" w:after="0"/>
      </w:pPr>
      <w:r>
        <w:separator/>
      </w:r>
    </w:p>
  </w:footnote>
  <w:footnote w:type="continuationSeparator" w:id="0">
    <w:p w14:paraId="62C8E156" w14:textId="77777777" w:rsidR="00281F43" w:rsidRDefault="00281F43" w:rsidP="00D946DB">
      <w:pPr>
        <w:spacing w:before="0" w:after="0"/>
      </w:pPr>
      <w:r>
        <w:continuationSeparator/>
      </w:r>
    </w:p>
  </w:footnote>
  <w:footnote w:type="continuationNotice" w:id="1">
    <w:p w14:paraId="06245D13" w14:textId="77777777" w:rsidR="00281F43" w:rsidRDefault="00281F43">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 xml:space="preserve">Eiropas Parlamenta un Padomes Direktīva 2013/36/ES (2013. gada 26. jūnijs) par piekļuvi kredītiestāžu darbībai un kredītiestāžu </w:t>
      </w:r>
      <w:proofErr w:type="spellStart"/>
      <w:r>
        <w:rPr>
          <w:rFonts w:ascii="Times New Roman" w:hAnsi="Times New Roman"/>
          <w:color w:val="444444"/>
          <w:sz w:val="20"/>
        </w:rPr>
        <w:t>prudenciālo</w:t>
      </w:r>
      <w:proofErr w:type="spellEnd"/>
      <w:r>
        <w:rPr>
          <w:rFonts w:ascii="Times New Roman" w:hAnsi="Times New Roman"/>
          <w:color w:val="444444"/>
          <w:sz w:val="20"/>
        </w:rPr>
        <w:t xml:space="preserve"> uzraudzību, ar ko groza Direktīvu 2002/87/EK un atceļ Direktīvas 2006/48/EK un 2006/49/EK (OV L 176, 27.6.2013., 338. lpp.).</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 xml:space="preserve">Komisijas Deleģēto regulu (ES) Nr. 1222/2014 (2014. gada 8. oktobris), ar ko papildina Eiropas Parlamenta un Padomes Direktīvu 2013/36/ES attiecībā uz regulatīvajiem tehniskajiem standartiem par metožu noteikšanu globāli sistēmiski nozīmīgu iestāžu identificēšanai un par globāli sistēmiski nozīmīgu iestāžu </w:t>
      </w:r>
      <w:proofErr w:type="spellStart"/>
      <w:r>
        <w:rPr>
          <w:rFonts w:ascii="Times New Roman" w:hAnsi="Times New Roman"/>
          <w:color w:val="444444"/>
          <w:sz w:val="20"/>
        </w:rPr>
        <w:t>apakškategoriju</w:t>
      </w:r>
      <w:proofErr w:type="spellEnd"/>
      <w:r>
        <w:rPr>
          <w:rFonts w:ascii="Times New Roman" w:hAnsi="Times New Roman"/>
          <w:color w:val="444444"/>
          <w:sz w:val="20"/>
        </w:rPr>
        <w:t xml:space="preserve"> definēšanu (OV L 330, 15.11.2014., 27. lpp.).</w:t>
      </w:r>
    </w:p>
  </w:footnote>
  <w:footnote w:id="4">
    <w:p w14:paraId="7E81C75F" w14:textId="7AFAACB8" w:rsidR="00461B95" w:rsidRPr="00EF0DDB" w:rsidRDefault="00461B95">
      <w:pPr>
        <w:pStyle w:val="FootnoteText"/>
      </w:pPr>
      <w:r>
        <w:rPr>
          <w:rStyle w:val="FootnoteReference"/>
        </w:rPr>
        <w:footnoteRef/>
      </w:r>
      <w:r>
        <w:t xml:space="preserve"> </w:t>
      </w:r>
      <w:r>
        <w:t>Eiropas Parlamenta un Padomes Regula (ES) Nr. 806/2014 (2014. gada 15. jūlijs), ar ko izveido vienādus noteikumus un vienotu procedūru kredītiestāžu un noteiktu ieguldījumu brokeru sabiedrību noregulējumam, izmantojot vienotu noregulējuma mehānismu un vienotu noregulējuma fondu, un groza Regulu (ES) Nr. 1093/2010 (OV L 225, 30.7.2014.,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5863398">
    <w:abstractNumId w:val="0"/>
  </w:num>
  <w:num w:numId="2" w16cid:durableId="1517619676">
    <w:abstractNumId w:val="13"/>
  </w:num>
  <w:num w:numId="3" w16cid:durableId="1773240255">
    <w:abstractNumId w:val="19"/>
  </w:num>
  <w:num w:numId="4" w16cid:durableId="1889106208">
    <w:abstractNumId w:val="9"/>
  </w:num>
  <w:num w:numId="5" w16cid:durableId="342754727">
    <w:abstractNumId w:val="16"/>
  </w:num>
  <w:num w:numId="6" w16cid:durableId="241187838">
    <w:abstractNumId w:val="8"/>
  </w:num>
  <w:num w:numId="7" w16cid:durableId="1609045359">
    <w:abstractNumId w:val="18"/>
  </w:num>
  <w:num w:numId="8" w16cid:durableId="210967265">
    <w:abstractNumId w:val="2"/>
  </w:num>
  <w:num w:numId="9" w16cid:durableId="932788191">
    <w:abstractNumId w:val="14"/>
  </w:num>
  <w:num w:numId="10" w16cid:durableId="838740023">
    <w:abstractNumId w:val="7"/>
  </w:num>
  <w:num w:numId="11" w16cid:durableId="1161700274">
    <w:abstractNumId w:val="11"/>
  </w:num>
  <w:num w:numId="12" w16cid:durableId="1643147371">
    <w:abstractNumId w:val="3"/>
  </w:num>
  <w:num w:numId="13" w16cid:durableId="1461419393">
    <w:abstractNumId w:val="15"/>
  </w:num>
  <w:num w:numId="14" w16cid:durableId="1590042301">
    <w:abstractNumId w:val="12"/>
  </w:num>
  <w:num w:numId="15" w16cid:durableId="19286734">
    <w:abstractNumId w:val="5"/>
  </w:num>
  <w:num w:numId="16" w16cid:durableId="634605136">
    <w:abstractNumId w:val="10"/>
  </w:num>
  <w:num w:numId="17" w16cid:durableId="1987973383">
    <w:abstractNumId w:val="4"/>
  </w:num>
  <w:num w:numId="18" w16cid:durableId="1246457381">
    <w:abstractNumId w:val="17"/>
  </w:num>
  <w:num w:numId="19" w16cid:durableId="1861509967">
    <w:abstractNumId w:val="1"/>
  </w:num>
  <w:num w:numId="20" w16cid:durableId="492182474">
    <w:abstractNumId w:val="6"/>
  </w:num>
  <w:num w:numId="21" w16cid:durableId="936402578">
    <w:abstractNumId w:val="5"/>
  </w:num>
  <w:num w:numId="22" w16cid:durableId="1388996609">
    <w:abstractNumId w:val="15"/>
  </w:num>
  <w:num w:numId="23" w16cid:durableId="310796247">
    <w:abstractNumId w:val="15"/>
  </w:num>
  <w:num w:numId="24" w16cid:durableId="1527252018">
    <w:abstractNumId w:val="15"/>
  </w:num>
  <w:num w:numId="25" w16cid:durableId="166278063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3A21"/>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1F43"/>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7B1"/>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0D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77657752-AC44-4B77-8858-F5D68CE4DC81}"/>
</file>

<file path=customXml/itemProps3.xml><?xml version="1.0" encoding="utf-8"?>
<ds:datastoreItem xmlns:ds="http://schemas.openxmlformats.org/officeDocument/2006/customXml" ds:itemID="{6A702E10-D3FC-4F0E-AAED-7B89AA324FEE}"/>
</file>

<file path=customXml/itemProps4.xml><?xml version="1.0" encoding="utf-8"?>
<ds:datastoreItem xmlns:ds="http://schemas.openxmlformats.org/officeDocument/2006/customXml" ds:itemID="{9B25FEEC-4AA4-447F-AE6E-383B2BF36E76}"/>
</file>

<file path=docProps/app.xml><?xml version="1.0" encoding="utf-8"?>
<Properties xmlns="http://schemas.openxmlformats.org/officeDocument/2006/extended-properties" xmlns:vt="http://schemas.openxmlformats.org/officeDocument/2006/docPropsVTypes">
  <Template>Normal</Template>
  <TotalTime>0</TotalTime>
  <Pages>5</Pages>
  <Words>1122</Words>
  <Characters>7768</Characters>
  <Application>Microsoft Office Word</Application>
  <DocSecurity>0</DocSecurity>
  <Lines>184</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2025-01-27T08:45:00Z</dcterms:created>
  <dcterms:modified xsi:type="dcterms:W3CDTF">2025-01-27T08:45:00Z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2025-01-27T08:45:30Z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e90151f0-0ebe-424e-821c-dabda76b3ec8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